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1895" w:rsidR="00E63C59" w:rsidP="00A31895" w:rsidRDefault="00A31895" w14:paraId="179E9AE1" w14:textId="6FEE456E">
      <w:pPr>
        <w:jc w:val="center"/>
        <w:rPr>
          <w:b/>
          <w:bCs/>
        </w:rPr>
      </w:pPr>
      <w:r w:rsidRPr="00A31895">
        <w:rPr>
          <w:b/>
          <w:bCs/>
        </w:rPr>
        <w:t>Revalidation timeline for UNESCO Global Geoparks in Canada</w:t>
      </w:r>
    </w:p>
    <w:p w:rsidR="00A31895" w:rsidRDefault="00A31895" w14:paraId="22EA83B9" w14:textId="19CC264D"/>
    <w:p w:rsidRPr="00466D3E" w:rsidR="00A31895" w:rsidP="00A31895" w:rsidRDefault="00A31895" w14:paraId="2FE2D7FF" w14:textId="77777777">
      <w:pPr>
        <w:rPr>
          <w:b/>
          <w:bCs/>
        </w:rPr>
      </w:pPr>
      <w:r w:rsidRPr="00466D3E">
        <w:rPr>
          <w:b/>
          <w:bCs/>
        </w:rPr>
        <w:t>Abbreviations:</w:t>
      </w:r>
    </w:p>
    <w:p w:rsidR="00A31895" w:rsidP="00A31895" w:rsidRDefault="00A31895" w14:paraId="2C852E2D" w14:textId="77777777">
      <w:r>
        <w:t>CCUNESCO</w:t>
      </w:r>
      <w:r>
        <w:tab/>
      </w:r>
      <w:r>
        <w:t>Canadian Commission for UNESCO</w:t>
      </w:r>
    </w:p>
    <w:p w:rsidR="00A31895" w:rsidP="00A31895" w:rsidRDefault="00A31895" w14:paraId="0C493457" w14:textId="77777777">
      <w:r>
        <w:t>CGN</w:t>
      </w:r>
      <w:r>
        <w:tab/>
      </w:r>
      <w:r>
        <w:tab/>
      </w:r>
      <w:r>
        <w:t>Canadian Geoparks Network</w:t>
      </w:r>
    </w:p>
    <w:p w:rsidR="00A31895" w:rsidP="00A31895" w:rsidRDefault="00A31895" w14:paraId="6F69A5B9" w14:textId="77777777">
      <w:r>
        <w:t>IGGP</w:t>
      </w:r>
      <w:r>
        <w:tab/>
      </w:r>
      <w:r>
        <w:tab/>
      </w:r>
      <w:r>
        <w:t>International Geoparks and Geoscience Programme</w:t>
      </w:r>
    </w:p>
    <w:p w:rsidR="00195FBC" w:rsidP="00A31895" w:rsidRDefault="00195FBC" w14:paraId="3BF51B73" w14:textId="3565455B">
      <w:r>
        <w:t>UGGp</w:t>
      </w:r>
      <w:r>
        <w:tab/>
      </w:r>
      <w:r>
        <w:tab/>
      </w:r>
      <w:r>
        <w:t>UNESCO Global Geopark</w:t>
      </w:r>
    </w:p>
    <w:p w:rsidR="00A31895" w:rsidRDefault="00A31895" w14:paraId="47E6267F" w14:textId="2AEC137E"/>
    <w:p w:rsidRPr="00CB7628" w:rsidR="00A31895" w:rsidRDefault="00A31895" w14:paraId="3DB48A90" w14:textId="579D6012">
      <w:pPr>
        <w:rPr>
          <w:b/>
          <w:bCs/>
        </w:rPr>
      </w:pPr>
      <w:r w:rsidRPr="00CB7628">
        <w:rPr>
          <w:b/>
          <w:bCs/>
        </w:rPr>
        <w:t>First revalidation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810"/>
        <w:gridCol w:w="6390"/>
        <w:gridCol w:w="2340"/>
      </w:tblGrid>
      <w:tr w:rsidRPr="007E1662" w:rsidR="00A31895" w:rsidTr="04E02BE2" w14:paraId="0F238A62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tcMar/>
            <w:vAlign w:val="center"/>
          </w:tcPr>
          <w:p w:rsidR="00A31895" w:rsidP="00A85353" w:rsidRDefault="00A31895" w14:paraId="1C95E9A2" w14:textId="19A32A73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Step</w:t>
            </w:r>
          </w:p>
        </w:tc>
        <w:tc>
          <w:tcPr>
            <w:tcW w:w="6390" w:type="dxa"/>
            <w:tcMar/>
            <w:vAlign w:val="center"/>
          </w:tcPr>
          <w:p w:rsidRPr="00A31895" w:rsidR="00A31895" w:rsidP="00A85353" w:rsidRDefault="00A31895" w14:paraId="3E30A88B" w14:textId="321DD343">
            <w:pPr>
              <w:spacing w:line="276" w:lineRule="auto"/>
              <w:rPr>
                <w:rFonts w:cs="Arial"/>
                <w:b/>
                <w:bCs/>
              </w:rPr>
            </w:pPr>
            <w:r w:rsidRPr="00A31895">
              <w:rPr>
                <w:rFonts w:cs="Arial"/>
                <w:b/>
                <w:bCs/>
              </w:rPr>
              <w:t>Actions</w:t>
            </w:r>
          </w:p>
        </w:tc>
        <w:tc>
          <w:tcPr>
            <w:tcW w:w="2340" w:type="dxa"/>
            <w:tcMar/>
          </w:tcPr>
          <w:p w:rsidRPr="00A31895" w:rsidR="00A31895" w:rsidP="00A85353" w:rsidRDefault="00A31895" w14:paraId="6BBEBB47" w14:textId="23058284">
            <w:pPr>
              <w:spacing w:line="276" w:lineRule="auto"/>
              <w:rPr>
                <w:rFonts w:cs="Arial"/>
                <w:b/>
                <w:bCs/>
              </w:rPr>
            </w:pPr>
            <w:r w:rsidRPr="00A31895">
              <w:rPr>
                <w:rFonts w:cs="Arial"/>
                <w:b/>
                <w:bCs/>
              </w:rPr>
              <w:t>Deadline / Timeline</w:t>
            </w:r>
          </w:p>
        </w:tc>
      </w:tr>
      <w:tr w:rsidRPr="007E1662" w:rsidR="00A31895" w:rsidTr="04E02BE2" w14:paraId="505058CA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tcMar/>
            <w:vAlign w:val="center"/>
          </w:tcPr>
          <w:p w:rsidRPr="007E1662" w:rsidR="00A31895" w:rsidP="00A85353" w:rsidRDefault="00A31895" w14:paraId="145D411E" w14:textId="256CD3B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6390" w:type="dxa"/>
            <w:tcMar/>
            <w:vAlign w:val="center"/>
          </w:tcPr>
          <w:p w:rsidRPr="007E1662" w:rsidR="00A31895" w:rsidP="00A85353" w:rsidRDefault="00A31895" w14:paraId="5897E181" w14:textId="28FE83E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Between nomination and the first revalidation, the </w:t>
            </w:r>
            <w:r w:rsidR="00905BD8">
              <w:rPr>
                <w:rFonts w:cs="Arial"/>
              </w:rPr>
              <w:t>UGGp</w:t>
            </w:r>
            <w:r>
              <w:rPr>
                <w:rFonts w:cs="Arial"/>
              </w:rPr>
              <w:t xml:space="preserve"> must work to address </w:t>
            </w:r>
            <w:r w:rsidRPr="00A31895">
              <w:rPr>
                <w:rFonts w:cs="Arial"/>
                <w:b/>
                <w:bCs/>
              </w:rPr>
              <w:t>all</w:t>
            </w:r>
            <w:r>
              <w:rPr>
                <w:rFonts w:cs="Arial"/>
              </w:rPr>
              <w:t xml:space="preserve"> the recommendations made by the evaluators.</w:t>
            </w:r>
          </w:p>
        </w:tc>
        <w:tc>
          <w:tcPr>
            <w:tcW w:w="2340" w:type="dxa"/>
            <w:tcMar/>
          </w:tcPr>
          <w:p w:rsidR="00A31895" w:rsidP="00A85353" w:rsidRDefault="00A31895" w14:paraId="55B30840" w14:textId="33D212E3">
            <w:pPr>
              <w:spacing w:line="276" w:lineRule="auto"/>
              <w:rPr>
                <w:rFonts w:cs="Arial"/>
              </w:rPr>
            </w:pPr>
          </w:p>
        </w:tc>
      </w:tr>
      <w:tr w:rsidRPr="007E1662" w:rsidR="00A31895" w:rsidTr="04E02BE2" w14:paraId="41A1EE00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tcMar/>
            <w:vAlign w:val="center"/>
          </w:tcPr>
          <w:p w:rsidRPr="007E1662" w:rsidR="00A31895" w:rsidP="00A85353" w:rsidRDefault="00A31895" w14:paraId="356B198C" w14:textId="4C422C0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6390" w:type="dxa"/>
            <w:tcMar/>
            <w:vAlign w:val="center"/>
          </w:tcPr>
          <w:p w:rsidR="00A31895" w:rsidP="00A85353" w:rsidRDefault="00A31895" w14:paraId="037F35BB" w14:textId="12DA3F9C">
            <w:pPr>
              <w:spacing w:line="276" w:lineRule="auto"/>
              <w:rPr>
                <w:rFonts w:cs="Arial"/>
              </w:rPr>
            </w:pPr>
            <w:r w:rsidRPr="00A31895">
              <w:rPr>
                <w:rFonts w:cs="Arial"/>
              </w:rPr>
              <w:t xml:space="preserve">New </w:t>
            </w:r>
            <w:r w:rsidR="00905BD8">
              <w:rPr>
                <w:rFonts w:cs="Arial"/>
              </w:rPr>
              <w:t>UGGps</w:t>
            </w:r>
            <w:r w:rsidRPr="00A31895">
              <w:rPr>
                <w:rFonts w:cs="Arial"/>
              </w:rPr>
              <w:t xml:space="preserve"> are designated for a period of four years, </w:t>
            </w:r>
            <w:r w:rsidRPr="00A31895" w:rsidR="00B87D8E">
              <w:rPr>
                <w:rFonts w:cs="Arial"/>
              </w:rPr>
              <w:t>i.e.</w:t>
            </w:r>
            <w:r w:rsidRPr="0097474F" w:rsidR="00B87D8E">
              <w:rPr>
                <w:rFonts w:cs="Arial"/>
              </w:rPr>
              <w:t>,</w:t>
            </w:r>
            <w:r w:rsidRPr="00A31895">
              <w:rPr>
                <w:rFonts w:cs="Arial"/>
              </w:rPr>
              <w:t xml:space="preserve"> from April </w:t>
            </w:r>
            <w:r>
              <w:rPr>
                <w:rFonts w:cs="Arial"/>
              </w:rPr>
              <w:t xml:space="preserve">Year 1 </w:t>
            </w:r>
            <w:r w:rsidRPr="00A31895">
              <w:rPr>
                <w:rFonts w:cs="Arial"/>
              </w:rPr>
              <w:t xml:space="preserve">until April of Year </w:t>
            </w:r>
            <w:r>
              <w:rPr>
                <w:rFonts w:cs="Arial"/>
              </w:rPr>
              <w:t>4</w:t>
            </w:r>
            <w:r w:rsidRPr="00A31895">
              <w:rPr>
                <w:rFonts w:cs="Arial"/>
              </w:rPr>
              <w:t xml:space="preserve">. Revalidation evaluation missions take place in the </w:t>
            </w:r>
            <w:r w:rsidRPr="0097474F">
              <w:rPr>
                <w:rFonts w:cs="Arial"/>
              </w:rPr>
              <w:t>summer</w:t>
            </w:r>
            <w:r w:rsidRPr="0097474F" w:rsidR="00B87D8E">
              <w:rPr>
                <w:rFonts w:cs="Arial"/>
              </w:rPr>
              <w:t>;</w:t>
            </w:r>
            <w:r w:rsidRPr="0097474F">
              <w:rPr>
                <w:rFonts w:cs="Arial"/>
              </w:rPr>
              <w:t xml:space="preserve"> therefore</w:t>
            </w:r>
            <w:r w:rsidRPr="0097474F" w:rsidR="00B87D8E">
              <w:rPr>
                <w:rFonts w:cs="Arial"/>
              </w:rPr>
              <w:t>,</w:t>
            </w:r>
            <w:r w:rsidRPr="0097474F">
              <w:rPr>
                <w:rFonts w:cs="Arial"/>
              </w:rPr>
              <w:t xml:space="preserve"> the</w:t>
            </w:r>
            <w:r w:rsidRPr="00A31895">
              <w:rPr>
                <w:rFonts w:cs="Arial"/>
              </w:rPr>
              <w:t xml:space="preserve"> first revalidation takes place early, in Year </w:t>
            </w:r>
            <w:r>
              <w:rPr>
                <w:rFonts w:cs="Arial"/>
              </w:rPr>
              <w:t>3</w:t>
            </w:r>
            <w:r w:rsidRPr="00A31895">
              <w:rPr>
                <w:rFonts w:cs="Arial"/>
              </w:rPr>
              <w:t xml:space="preserve">. </w:t>
            </w:r>
          </w:p>
          <w:p w:rsidRPr="007E1662" w:rsidR="00A31895" w:rsidP="00A85353" w:rsidRDefault="00A31895" w14:paraId="68BFD35E" w14:textId="4BD21D2A">
            <w:pPr>
              <w:spacing w:line="276" w:lineRule="auto"/>
              <w:rPr>
                <w:rFonts w:cs="Arial"/>
              </w:rPr>
            </w:pPr>
            <w:r w:rsidRPr="00A31895">
              <w:rPr>
                <w:rFonts w:cs="Arial"/>
              </w:rPr>
              <w:t xml:space="preserve">The </w:t>
            </w:r>
            <w:r w:rsidR="00905BD8">
              <w:rPr>
                <w:rFonts w:cs="Arial"/>
              </w:rPr>
              <w:t>UGGp</w:t>
            </w:r>
            <w:r w:rsidRPr="00A31895">
              <w:rPr>
                <w:rFonts w:cs="Arial"/>
              </w:rPr>
              <w:t xml:space="preserve"> sends its one-page summary directly to the IGGP Secretariat one year prior to revalidation.</w:t>
            </w:r>
            <w:r w:rsidRPr="00A31895">
              <w:rPr>
                <w:rFonts w:cs="Arial"/>
              </w:rPr>
              <w:tab/>
            </w:r>
          </w:p>
        </w:tc>
        <w:tc>
          <w:tcPr>
            <w:tcW w:w="2340" w:type="dxa"/>
            <w:tcMar/>
          </w:tcPr>
          <w:p w:rsidR="00A31895" w:rsidP="00A85353" w:rsidRDefault="00A31895" w14:paraId="221CB03E" w14:textId="51CA36E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A31895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July, Year 2</w:t>
            </w:r>
          </w:p>
        </w:tc>
      </w:tr>
      <w:tr w:rsidRPr="007E1662" w:rsidR="00A31895" w:rsidTr="04E02BE2" w14:paraId="66B5D000" w14:textId="77777777">
        <w:trPr>
          <w:trHeight w:val="1862"/>
        </w:trPr>
        <w:tc>
          <w:tcPr>
            <w:tcW w:w="810" w:type="dxa"/>
            <w:shd w:val="clear" w:color="auto" w:fill="D5DCE4" w:themeFill="text2" w:themeFillTint="33"/>
            <w:tcMar/>
            <w:vAlign w:val="center"/>
          </w:tcPr>
          <w:p w:rsidR="00A31895" w:rsidP="00A31895" w:rsidRDefault="00A31895" w14:paraId="5DF4E183" w14:textId="5D8F1021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6390" w:type="dxa"/>
            <w:tcMar/>
            <w:vAlign w:val="center"/>
          </w:tcPr>
          <w:p w:rsidRPr="00785268" w:rsidR="00A31895" w:rsidP="00A31895" w:rsidRDefault="00A31895" w14:paraId="167C4F36" w14:textId="6D8391A0">
            <w:pPr>
              <w:spacing w:line="276" w:lineRule="auto"/>
              <w:rPr>
                <w:rFonts w:cs="Arial"/>
              </w:rPr>
            </w:pPr>
            <w:r w:rsidRPr="04E02BE2" w:rsidR="00A31895">
              <w:rPr>
                <w:rFonts w:cs="Arial"/>
              </w:rPr>
              <w:t xml:space="preserve">The </w:t>
            </w:r>
            <w:r w:rsidRPr="04E02BE2" w:rsidR="00905BD8">
              <w:rPr>
                <w:rFonts w:cs="Arial"/>
              </w:rPr>
              <w:t>UGGp</w:t>
            </w:r>
            <w:r w:rsidRPr="04E02BE2" w:rsidR="00A31895">
              <w:rPr>
                <w:rFonts w:cs="Arial"/>
              </w:rPr>
              <w:t xml:space="preserve"> prepares </w:t>
            </w:r>
            <w:r w:rsidRPr="04E02BE2" w:rsidR="00A31895">
              <w:rPr>
                <w:rFonts w:cs="Arial"/>
              </w:rPr>
              <w:t>its revalidation documents (progress report, self-evaluation, and progress evaluation form)</w:t>
            </w:r>
            <w:r w:rsidRPr="04E02BE2" w:rsidR="00A31895">
              <w:rPr>
                <w:rFonts w:cs="Arial"/>
              </w:rPr>
              <w:t xml:space="preserve">. This is sent to the IGGP Secretariat by CCUNESCO with an </w:t>
            </w:r>
            <w:r w:rsidRPr="04E02BE2" w:rsidR="00A31895">
              <w:rPr>
                <w:rFonts w:cs="Arial"/>
              </w:rPr>
              <w:t>accompanying</w:t>
            </w:r>
            <w:r w:rsidRPr="04E02BE2" w:rsidR="00A31895">
              <w:rPr>
                <w:rFonts w:cs="Arial"/>
              </w:rPr>
              <w:t xml:space="preserve"> letter of support. It must be received by </w:t>
            </w:r>
            <w:r w:rsidRPr="04E02BE2" w:rsidR="00A31895">
              <w:rPr>
                <w:rFonts w:cs="Arial"/>
              </w:rPr>
              <w:t>CCUNESCO</w:t>
            </w:r>
            <w:r w:rsidRPr="04E02BE2" w:rsidR="00A31895">
              <w:rPr>
                <w:rFonts w:cs="Arial"/>
              </w:rPr>
              <w:t xml:space="preserve"> a </w:t>
            </w:r>
            <w:r w:rsidRPr="04E02BE2" w:rsidR="00A31895">
              <w:rPr>
                <w:rFonts w:cs="Arial"/>
                <w:b w:val="1"/>
                <w:bCs w:val="1"/>
              </w:rPr>
              <w:t>minimum of 2 weeks</w:t>
            </w:r>
            <w:r w:rsidRPr="04E02BE2" w:rsidR="00A31895">
              <w:rPr>
                <w:rFonts w:cs="Arial"/>
              </w:rPr>
              <w:t xml:space="preserve"> before the deadline.</w:t>
            </w:r>
            <w:r w:rsidRPr="04E02BE2" w:rsidR="00195FBC">
              <w:rPr>
                <w:rFonts w:cs="Arial"/>
              </w:rPr>
              <w:t xml:space="preserve"> </w:t>
            </w:r>
            <w:r w:rsidRPr="04E02BE2" w:rsidR="00A6037A">
              <w:rPr>
                <w:rFonts w:cs="Arial"/>
              </w:rPr>
              <w:t>The same</w:t>
            </w:r>
            <w:r w:rsidRPr="04E02BE2" w:rsidR="00905BD8">
              <w:rPr>
                <w:rFonts w:cs="Arial"/>
              </w:rPr>
              <w:t xml:space="preserve"> deadline applies if the </w:t>
            </w:r>
            <w:r w:rsidRPr="04E02BE2" w:rsidR="00905BD8">
              <w:rPr>
                <w:rFonts w:cs="Arial"/>
              </w:rPr>
              <w:t>UGGp</w:t>
            </w:r>
            <w:r w:rsidRPr="04E02BE2" w:rsidR="00A6037A">
              <w:rPr>
                <w:rFonts w:cs="Arial"/>
              </w:rPr>
              <w:t xml:space="preserve"> wishes feedback on the revalidation dossier from the CGN.</w:t>
            </w:r>
          </w:p>
        </w:tc>
        <w:tc>
          <w:tcPr>
            <w:tcW w:w="2340" w:type="dxa"/>
            <w:tcMar/>
          </w:tcPr>
          <w:p w:rsidR="00A31895" w:rsidP="00A31895" w:rsidRDefault="00A31895" w14:paraId="39F77E52" w14:textId="3978C38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152A5A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January, Year 3</w:t>
            </w:r>
          </w:p>
        </w:tc>
      </w:tr>
    </w:tbl>
    <w:p w:rsidR="00A31895" w:rsidRDefault="00A31895" w14:paraId="48EF2A46" w14:textId="68F2C1F3"/>
    <w:p w:rsidRPr="00CB7628" w:rsidR="00A31895" w:rsidRDefault="00A31895" w14:paraId="44077D4A" w14:textId="1CBD4EF1">
      <w:pPr>
        <w:rPr>
          <w:b/>
          <w:bCs/>
        </w:rPr>
      </w:pPr>
      <w:r w:rsidRPr="00CB7628">
        <w:rPr>
          <w:b/>
          <w:bCs/>
        </w:rPr>
        <w:t>Subsequent revalidations (green card)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810"/>
        <w:gridCol w:w="6390"/>
        <w:gridCol w:w="2340"/>
      </w:tblGrid>
      <w:tr w:rsidRPr="007E1662" w:rsidR="00A31895" w:rsidTr="00A85353" w14:paraId="64F496D9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vAlign w:val="center"/>
          </w:tcPr>
          <w:p w:rsidR="00A31895" w:rsidP="00A85353" w:rsidRDefault="00A31895" w14:paraId="22D6C1AC" w14:textId="7777777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Step</w:t>
            </w:r>
          </w:p>
        </w:tc>
        <w:tc>
          <w:tcPr>
            <w:tcW w:w="6390" w:type="dxa"/>
            <w:vAlign w:val="center"/>
          </w:tcPr>
          <w:p w:rsidRPr="00A31895" w:rsidR="00A31895" w:rsidP="00A85353" w:rsidRDefault="00A31895" w14:paraId="23D0A593" w14:textId="77777777">
            <w:pPr>
              <w:spacing w:line="276" w:lineRule="auto"/>
              <w:rPr>
                <w:rFonts w:cs="Arial"/>
                <w:b/>
                <w:bCs/>
              </w:rPr>
            </w:pPr>
            <w:r w:rsidRPr="00A31895">
              <w:rPr>
                <w:rFonts w:cs="Arial"/>
                <w:b/>
                <w:bCs/>
              </w:rPr>
              <w:t>Actions</w:t>
            </w:r>
          </w:p>
        </w:tc>
        <w:tc>
          <w:tcPr>
            <w:tcW w:w="2340" w:type="dxa"/>
          </w:tcPr>
          <w:p w:rsidRPr="00A31895" w:rsidR="00A31895" w:rsidP="00A85353" w:rsidRDefault="00A31895" w14:paraId="166CBF53" w14:textId="77777777">
            <w:pPr>
              <w:spacing w:line="276" w:lineRule="auto"/>
              <w:rPr>
                <w:rFonts w:cs="Arial"/>
                <w:b/>
                <w:bCs/>
              </w:rPr>
            </w:pPr>
            <w:r w:rsidRPr="00A31895">
              <w:rPr>
                <w:rFonts w:cs="Arial"/>
                <w:b/>
                <w:bCs/>
              </w:rPr>
              <w:t>Deadline / Timeline</w:t>
            </w:r>
          </w:p>
        </w:tc>
      </w:tr>
      <w:tr w:rsidRPr="007E1662" w:rsidR="00A31895" w:rsidTr="00A85353" w14:paraId="7CEA578B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vAlign w:val="center"/>
          </w:tcPr>
          <w:p w:rsidRPr="007E1662" w:rsidR="00A31895" w:rsidP="00A85353" w:rsidRDefault="00A31895" w14:paraId="164BF42A" w14:textId="7777777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6390" w:type="dxa"/>
            <w:vAlign w:val="center"/>
          </w:tcPr>
          <w:p w:rsidRPr="007E1662" w:rsidR="00A31895" w:rsidP="00A85353" w:rsidRDefault="00A31895" w14:paraId="7AE2ABA6" w14:textId="2885DA5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Between the previous revalidation, and next revalidation, the </w:t>
            </w:r>
            <w:r w:rsidR="00905BD8">
              <w:rPr>
                <w:rFonts w:cs="Arial"/>
              </w:rPr>
              <w:t>UGGp</w:t>
            </w:r>
            <w:r>
              <w:rPr>
                <w:rFonts w:cs="Arial"/>
              </w:rPr>
              <w:t xml:space="preserve"> must work to address </w:t>
            </w:r>
            <w:r w:rsidRPr="00A31895">
              <w:rPr>
                <w:rFonts w:cs="Arial"/>
                <w:b/>
                <w:bCs/>
              </w:rPr>
              <w:t>all</w:t>
            </w:r>
            <w:r>
              <w:rPr>
                <w:rFonts w:cs="Arial"/>
              </w:rPr>
              <w:t xml:space="preserve"> the recommendations made by the evaluators.</w:t>
            </w:r>
          </w:p>
        </w:tc>
        <w:tc>
          <w:tcPr>
            <w:tcW w:w="2340" w:type="dxa"/>
          </w:tcPr>
          <w:p w:rsidR="00A31895" w:rsidP="00A85353" w:rsidRDefault="00A31895" w14:paraId="64DFE894" w14:textId="77777777">
            <w:pPr>
              <w:spacing w:line="276" w:lineRule="auto"/>
              <w:rPr>
                <w:rFonts w:cs="Arial"/>
              </w:rPr>
            </w:pPr>
          </w:p>
        </w:tc>
      </w:tr>
      <w:tr w:rsidRPr="007E1662" w:rsidR="00A31895" w:rsidTr="00A85353" w14:paraId="71EAAB3A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vAlign w:val="center"/>
          </w:tcPr>
          <w:p w:rsidR="00A31895" w:rsidP="00A85353" w:rsidRDefault="00A31895" w14:paraId="234FC461" w14:textId="31986321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6390" w:type="dxa"/>
            <w:vAlign w:val="center"/>
          </w:tcPr>
          <w:p w:rsidR="00A31895" w:rsidP="00A85353" w:rsidRDefault="00A31895" w14:paraId="290B6C66" w14:textId="7777777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Revalidations take place 4 years after the previous revalidation.</w:t>
            </w:r>
          </w:p>
          <w:p w:rsidRPr="00785268" w:rsidR="00A31895" w:rsidP="00A85353" w:rsidRDefault="00A31895" w14:paraId="58836B91" w14:textId="350B83AC">
            <w:pPr>
              <w:spacing w:line="276" w:lineRule="auto"/>
              <w:rPr>
                <w:rFonts w:cs="Arial"/>
              </w:rPr>
            </w:pPr>
            <w:r w:rsidRPr="00A31895">
              <w:rPr>
                <w:rFonts w:cs="Arial"/>
              </w:rPr>
              <w:t xml:space="preserve">The </w:t>
            </w:r>
            <w:r w:rsidR="00905BD8">
              <w:rPr>
                <w:rFonts w:cs="Arial"/>
              </w:rPr>
              <w:t>UGGp</w:t>
            </w:r>
            <w:r w:rsidRPr="00A31895">
              <w:rPr>
                <w:rFonts w:cs="Arial"/>
              </w:rPr>
              <w:t xml:space="preserve"> sends its one-page summary directly to the IGGP Secretariat one year prior to revalidation.</w:t>
            </w:r>
          </w:p>
        </w:tc>
        <w:tc>
          <w:tcPr>
            <w:tcW w:w="2340" w:type="dxa"/>
          </w:tcPr>
          <w:p w:rsidR="00A31895" w:rsidP="00A85353" w:rsidRDefault="00A31895" w14:paraId="44C26D5F" w14:textId="2EAF1C2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A31895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July, Year 3</w:t>
            </w:r>
          </w:p>
        </w:tc>
      </w:tr>
      <w:tr w:rsidRPr="007E1662" w:rsidR="00A31895" w:rsidTr="00A85353" w14:paraId="1772D1EC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vAlign w:val="center"/>
          </w:tcPr>
          <w:p w:rsidR="00A31895" w:rsidP="00A85353" w:rsidRDefault="00A31895" w14:paraId="52B7C87B" w14:textId="1D1765F3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6390" w:type="dxa"/>
            <w:vAlign w:val="center"/>
          </w:tcPr>
          <w:p w:rsidRPr="00785268" w:rsidR="00A31895" w:rsidP="00A85353" w:rsidRDefault="00A31895" w14:paraId="6F92ECA0" w14:textId="724BD50E">
            <w:pPr>
              <w:spacing w:line="276" w:lineRule="auto"/>
              <w:rPr>
                <w:rFonts w:cs="Arial"/>
              </w:rPr>
            </w:pPr>
            <w:r w:rsidRPr="00785268">
              <w:rPr>
                <w:rFonts w:cs="Arial"/>
              </w:rPr>
              <w:t xml:space="preserve">The </w:t>
            </w:r>
            <w:r w:rsidR="00905BD8">
              <w:rPr>
                <w:rFonts w:cs="Arial"/>
              </w:rPr>
              <w:t>UGGp</w:t>
            </w:r>
            <w:r w:rsidRPr="00785268">
              <w:rPr>
                <w:rFonts w:cs="Arial"/>
              </w:rPr>
              <w:t xml:space="preserve"> prepares </w:t>
            </w:r>
            <w:r>
              <w:rPr>
                <w:rFonts w:cs="Arial"/>
              </w:rPr>
              <w:t>its revalidation documents (progress report, self-evaluation, and progress evaluation form)</w:t>
            </w:r>
            <w:r w:rsidRPr="00785268">
              <w:rPr>
                <w:rFonts w:cs="Arial"/>
              </w:rPr>
              <w:t xml:space="preserve">. This is sent to the IGGP Secretariat by the CCUNESCO with an accompanying letter of </w:t>
            </w:r>
            <w:r w:rsidRPr="00785268">
              <w:rPr>
                <w:rFonts w:cs="Arial"/>
              </w:rPr>
              <w:t xml:space="preserve">support. It must be received by the CCUNESCO a </w:t>
            </w:r>
            <w:r w:rsidRPr="00DD7B1C">
              <w:rPr>
                <w:rFonts w:cs="Arial"/>
                <w:b/>
                <w:bCs/>
              </w:rPr>
              <w:t>minimum of 2 weeks</w:t>
            </w:r>
            <w:r w:rsidRPr="00785268">
              <w:rPr>
                <w:rFonts w:cs="Arial"/>
              </w:rPr>
              <w:t xml:space="preserve"> before the deadline.</w:t>
            </w:r>
            <w:r w:rsidR="00A6037A">
              <w:rPr>
                <w:rFonts w:cs="Arial"/>
              </w:rPr>
              <w:t xml:space="preserve"> The same deadline applies if the UGGp wishes feedback on the revalidation dossier from the CGN.</w:t>
            </w:r>
          </w:p>
        </w:tc>
        <w:tc>
          <w:tcPr>
            <w:tcW w:w="2340" w:type="dxa"/>
          </w:tcPr>
          <w:p w:rsidR="00A31895" w:rsidP="00A85353" w:rsidRDefault="00A31895" w14:paraId="728C9D13" w14:textId="308E8D3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152A5A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January, Year 4</w:t>
            </w:r>
          </w:p>
        </w:tc>
      </w:tr>
    </w:tbl>
    <w:p w:rsidR="00A31895" w:rsidRDefault="00A31895" w14:paraId="007EFDAF" w14:textId="45DD05C1"/>
    <w:p w:rsidRPr="00CB7628" w:rsidR="00A31895" w:rsidP="00A31895" w:rsidRDefault="00A31895" w14:paraId="70AA823C" w14:textId="3E1FB03F">
      <w:pPr>
        <w:rPr>
          <w:b/>
          <w:bCs/>
        </w:rPr>
      </w:pPr>
      <w:r w:rsidRPr="00CB7628">
        <w:rPr>
          <w:b/>
          <w:bCs/>
        </w:rPr>
        <w:t>Subsequent revalidations (yello</w:t>
      </w:r>
      <w:r w:rsidR="00CB7628">
        <w:rPr>
          <w:b/>
          <w:bCs/>
        </w:rPr>
        <w:t>w</w:t>
      </w:r>
      <w:r w:rsidRPr="00CB7628">
        <w:rPr>
          <w:b/>
          <w:bCs/>
        </w:rPr>
        <w:t xml:space="preserve"> card)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810"/>
        <w:gridCol w:w="6390"/>
        <w:gridCol w:w="2340"/>
      </w:tblGrid>
      <w:tr w:rsidRPr="007E1662" w:rsidR="00A31895" w:rsidTr="00A85353" w14:paraId="2A2A2ED2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vAlign w:val="center"/>
          </w:tcPr>
          <w:p w:rsidR="00A31895" w:rsidP="00A85353" w:rsidRDefault="00A31895" w14:paraId="58531AED" w14:textId="7777777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Step</w:t>
            </w:r>
          </w:p>
        </w:tc>
        <w:tc>
          <w:tcPr>
            <w:tcW w:w="6390" w:type="dxa"/>
            <w:vAlign w:val="center"/>
          </w:tcPr>
          <w:p w:rsidRPr="00A31895" w:rsidR="00A31895" w:rsidP="00A85353" w:rsidRDefault="00A31895" w14:paraId="073CDBEE" w14:textId="77777777">
            <w:pPr>
              <w:spacing w:line="276" w:lineRule="auto"/>
              <w:rPr>
                <w:rFonts w:cs="Arial"/>
                <w:b/>
                <w:bCs/>
              </w:rPr>
            </w:pPr>
            <w:r w:rsidRPr="00A31895">
              <w:rPr>
                <w:rFonts w:cs="Arial"/>
                <w:b/>
                <w:bCs/>
              </w:rPr>
              <w:t>Actions</w:t>
            </w:r>
          </w:p>
        </w:tc>
        <w:tc>
          <w:tcPr>
            <w:tcW w:w="2340" w:type="dxa"/>
          </w:tcPr>
          <w:p w:rsidRPr="00A31895" w:rsidR="00A31895" w:rsidP="00A85353" w:rsidRDefault="00A31895" w14:paraId="44CDE72B" w14:textId="77777777">
            <w:pPr>
              <w:spacing w:line="276" w:lineRule="auto"/>
              <w:rPr>
                <w:rFonts w:cs="Arial"/>
                <w:b/>
                <w:bCs/>
              </w:rPr>
            </w:pPr>
            <w:r w:rsidRPr="00A31895">
              <w:rPr>
                <w:rFonts w:cs="Arial"/>
                <w:b/>
                <w:bCs/>
              </w:rPr>
              <w:t>Deadline / Timeline</w:t>
            </w:r>
          </w:p>
        </w:tc>
      </w:tr>
      <w:tr w:rsidRPr="007E1662" w:rsidR="00A31895" w:rsidTr="00A85353" w14:paraId="7E5E6F65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vAlign w:val="center"/>
          </w:tcPr>
          <w:p w:rsidRPr="007E1662" w:rsidR="00A31895" w:rsidP="00A85353" w:rsidRDefault="00A31895" w14:paraId="2F52EBBB" w14:textId="7777777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6390" w:type="dxa"/>
            <w:vAlign w:val="center"/>
          </w:tcPr>
          <w:p w:rsidRPr="007E1662" w:rsidR="00A31895" w:rsidP="00A85353" w:rsidRDefault="00A31895" w14:paraId="1B2A3CAD" w14:textId="7F049A0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Between the previous revalidation, and next revalidation, the </w:t>
            </w:r>
            <w:r w:rsidR="00905BD8">
              <w:rPr>
                <w:rFonts w:cs="Arial"/>
              </w:rPr>
              <w:t>UGGp</w:t>
            </w:r>
            <w:r>
              <w:rPr>
                <w:rFonts w:cs="Arial"/>
              </w:rPr>
              <w:t xml:space="preserve"> must work to address </w:t>
            </w:r>
            <w:r w:rsidRPr="00A31895">
              <w:rPr>
                <w:rFonts w:cs="Arial"/>
                <w:b/>
                <w:bCs/>
              </w:rPr>
              <w:t>all</w:t>
            </w:r>
            <w:r>
              <w:rPr>
                <w:rFonts w:cs="Arial"/>
              </w:rPr>
              <w:t xml:space="preserve"> the recommendations made by the evaluators.</w:t>
            </w:r>
          </w:p>
        </w:tc>
        <w:tc>
          <w:tcPr>
            <w:tcW w:w="2340" w:type="dxa"/>
          </w:tcPr>
          <w:p w:rsidR="00A31895" w:rsidP="00A85353" w:rsidRDefault="00A31895" w14:paraId="3E668739" w14:textId="77777777">
            <w:pPr>
              <w:spacing w:line="276" w:lineRule="auto"/>
              <w:rPr>
                <w:rFonts w:cs="Arial"/>
              </w:rPr>
            </w:pPr>
          </w:p>
        </w:tc>
      </w:tr>
      <w:tr w:rsidRPr="007E1662" w:rsidR="00A31895" w:rsidTr="00A85353" w14:paraId="010F83CE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vAlign w:val="center"/>
          </w:tcPr>
          <w:p w:rsidR="00A31895" w:rsidP="00A85353" w:rsidRDefault="00A31895" w14:paraId="07E45FCB" w14:textId="4D45D9C9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6390" w:type="dxa"/>
            <w:vAlign w:val="center"/>
          </w:tcPr>
          <w:p w:rsidRPr="00785268" w:rsidR="00A31895" w:rsidP="00A85353" w:rsidRDefault="00A31895" w14:paraId="0EF628EF" w14:textId="36E991F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Revalidations take place 2 years after the previous revalidation</w:t>
            </w:r>
            <w:r w:rsidR="00CB7628">
              <w:rPr>
                <w:rFonts w:cs="Arial"/>
              </w:rPr>
              <w:t xml:space="preserve">. </w:t>
            </w:r>
            <w:r w:rsidRPr="00A31895" w:rsidR="00CB7628">
              <w:rPr>
                <w:rFonts w:cs="Arial"/>
              </w:rPr>
              <w:t xml:space="preserve">The </w:t>
            </w:r>
            <w:r w:rsidR="00905BD8">
              <w:rPr>
                <w:rFonts w:cs="Arial"/>
              </w:rPr>
              <w:t>UGGp</w:t>
            </w:r>
            <w:r w:rsidRPr="00A31895" w:rsidR="00CB7628">
              <w:rPr>
                <w:rFonts w:cs="Arial"/>
              </w:rPr>
              <w:t xml:space="preserve"> sends its one-page summary directly to the IGGP Secretariat one year prior to revalidation.</w:t>
            </w:r>
          </w:p>
        </w:tc>
        <w:tc>
          <w:tcPr>
            <w:tcW w:w="2340" w:type="dxa"/>
          </w:tcPr>
          <w:p w:rsidR="00A31895" w:rsidP="00A85353" w:rsidRDefault="00CB7628" w14:paraId="148D0542" w14:textId="3320CF9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CB7628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July, Year 1</w:t>
            </w:r>
          </w:p>
        </w:tc>
      </w:tr>
      <w:tr w:rsidRPr="007E1662" w:rsidR="00A31895" w:rsidTr="00A85353" w14:paraId="4E7A1F72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vAlign w:val="center"/>
          </w:tcPr>
          <w:p w:rsidR="00A31895" w:rsidP="00A85353" w:rsidRDefault="00A31895" w14:paraId="4B402C9C" w14:textId="7777777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6390" w:type="dxa"/>
            <w:vAlign w:val="center"/>
          </w:tcPr>
          <w:p w:rsidRPr="00A6037A" w:rsidR="00A31895" w:rsidP="00A85353" w:rsidRDefault="00A31895" w14:paraId="77FC2E0B" w14:textId="5AAE7859">
            <w:pPr>
              <w:spacing w:line="276" w:lineRule="auto"/>
              <w:rPr>
                <w:rFonts w:cs="Arial"/>
                <w:b/>
                <w:bCs/>
              </w:rPr>
            </w:pPr>
            <w:r w:rsidRPr="00785268">
              <w:rPr>
                <w:rFonts w:cs="Arial"/>
              </w:rPr>
              <w:t xml:space="preserve">The </w:t>
            </w:r>
            <w:r w:rsidR="00905BD8">
              <w:rPr>
                <w:rFonts w:cs="Arial"/>
              </w:rPr>
              <w:t>UGGp</w:t>
            </w:r>
            <w:r w:rsidRPr="00785268">
              <w:rPr>
                <w:rFonts w:cs="Arial"/>
              </w:rPr>
              <w:t xml:space="preserve"> prepares </w:t>
            </w:r>
            <w:r>
              <w:rPr>
                <w:rFonts w:cs="Arial"/>
              </w:rPr>
              <w:t>its revalidation documents (progress report, self-evaluation, and progress evaluation form)</w:t>
            </w:r>
            <w:r w:rsidRPr="00785268">
              <w:rPr>
                <w:rFonts w:cs="Arial"/>
              </w:rPr>
              <w:t xml:space="preserve">. This is sent to the IGGP Secretariat by the CCUNESCO with an accompanying letter of support. It must be received by the CCUNESCO a </w:t>
            </w:r>
            <w:r w:rsidRPr="00DD7B1C">
              <w:rPr>
                <w:rFonts w:cs="Arial"/>
                <w:b/>
                <w:bCs/>
              </w:rPr>
              <w:t>minimum of 2 weeks</w:t>
            </w:r>
            <w:r w:rsidRPr="00785268">
              <w:rPr>
                <w:rFonts w:cs="Arial"/>
              </w:rPr>
              <w:t xml:space="preserve"> before the deadline.</w:t>
            </w:r>
            <w:r w:rsidR="00A6037A">
              <w:rPr>
                <w:rFonts w:cs="Arial"/>
              </w:rPr>
              <w:t xml:space="preserve"> The same deadline applies if the UGGp wishes feedback on the revalidation dossier from the CGN.</w:t>
            </w:r>
          </w:p>
        </w:tc>
        <w:tc>
          <w:tcPr>
            <w:tcW w:w="2340" w:type="dxa"/>
          </w:tcPr>
          <w:p w:rsidR="00A31895" w:rsidP="00A85353" w:rsidRDefault="00A31895" w14:paraId="207F4B58" w14:textId="11BAFB4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152A5A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January, Year </w:t>
            </w:r>
            <w:r w:rsidR="00CB7628">
              <w:rPr>
                <w:rFonts w:cs="Arial"/>
              </w:rPr>
              <w:t>2</w:t>
            </w:r>
          </w:p>
        </w:tc>
      </w:tr>
    </w:tbl>
    <w:p w:rsidR="00A31895" w:rsidRDefault="00A31895" w14:paraId="4B32A32B" w14:textId="77777777"/>
    <w:p w:rsidRPr="006F095F" w:rsidR="006F095F" w:rsidRDefault="006F095F" w14:paraId="4ADCC7D9" w14:textId="68C588FE">
      <w:pPr>
        <w:rPr>
          <w:b/>
          <w:bCs/>
        </w:rPr>
      </w:pPr>
      <w:r w:rsidRPr="006F095F">
        <w:rPr>
          <w:b/>
          <w:bCs/>
        </w:rPr>
        <w:t>All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810"/>
        <w:gridCol w:w="6390"/>
        <w:gridCol w:w="2340"/>
      </w:tblGrid>
      <w:tr w:rsidRPr="007E1662" w:rsidR="00B87BBE" w:rsidTr="00A85353" w14:paraId="2D56781C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  <w:vAlign w:val="center"/>
          </w:tcPr>
          <w:p w:rsidR="00B87BBE" w:rsidP="00A85353" w:rsidRDefault="00B87BBE" w14:paraId="3F6707CC" w14:textId="7777777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Step</w:t>
            </w:r>
          </w:p>
        </w:tc>
        <w:tc>
          <w:tcPr>
            <w:tcW w:w="6390" w:type="dxa"/>
            <w:vAlign w:val="center"/>
          </w:tcPr>
          <w:p w:rsidRPr="00A31895" w:rsidR="00B87BBE" w:rsidP="00A85353" w:rsidRDefault="00B87BBE" w14:paraId="6EA30675" w14:textId="77777777">
            <w:pPr>
              <w:spacing w:line="276" w:lineRule="auto"/>
              <w:rPr>
                <w:rFonts w:cs="Arial"/>
                <w:b/>
                <w:bCs/>
              </w:rPr>
            </w:pPr>
            <w:r w:rsidRPr="00A31895">
              <w:rPr>
                <w:rFonts w:cs="Arial"/>
                <w:b/>
                <w:bCs/>
              </w:rPr>
              <w:t>Actions</w:t>
            </w:r>
          </w:p>
        </w:tc>
        <w:tc>
          <w:tcPr>
            <w:tcW w:w="2340" w:type="dxa"/>
          </w:tcPr>
          <w:p w:rsidRPr="00A31895" w:rsidR="00B87BBE" w:rsidP="00A85353" w:rsidRDefault="00B87BBE" w14:paraId="7F3B9F2D" w14:textId="77777777">
            <w:pPr>
              <w:spacing w:line="276" w:lineRule="auto"/>
              <w:rPr>
                <w:rFonts w:cs="Arial"/>
                <w:b/>
                <w:bCs/>
              </w:rPr>
            </w:pPr>
            <w:r w:rsidRPr="00A31895">
              <w:rPr>
                <w:rFonts w:cs="Arial"/>
                <w:b/>
                <w:bCs/>
              </w:rPr>
              <w:t>Deadline / Timeline</w:t>
            </w:r>
          </w:p>
        </w:tc>
      </w:tr>
      <w:tr w:rsidRPr="007E1662" w:rsidR="00771503" w:rsidTr="006E1011" w14:paraId="10A025A4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</w:tcPr>
          <w:p w:rsidR="00771503" w:rsidP="00771503" w:rsidRDefault="0060078F" w14:paraId="1CBA3992" w14:textId="454DBC8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t>4</w:t>
            </w:r>
          </w:p>
        </w:tc>
        <w:tc>
          <w:tcPr>
            <w:tcW w:w="6390" w:type="dxa"/>
          </w:tcPr>
          <w:p w:rsidR="005D338A" w:rsidP="00771503" w:rsidRDefault="00507108" w14:paraId="249334C9" w14:textId="77777777">
            <w:pPr>
              <w:spacing w:line="276" w:lineRule="auto"/>
            </w:pPr>
            <w:r w:rsidRPr="000D482E">
              <w:t xml:space="preserve">The </w:t>
            </w:r>
            <w:r>
              <w:t xml:space="preserve">IGGP assigns two evaluators and sends them the revalidation documents. </w:t>
            </w:r>
            <w:r w:rsidRPr="000D482E" w:rsidR="00771503">
              <w:t xml:space="preserve">The aspiring geopark may request that the CGN appoints an observer for the </w:t>
            </w:r>
            <w:r>
              <w:t>revalidation</w:t>
            </w:r>
            <w:r w:rsidRPr="000D482E" w:rsidR="00771503">
              <w:t xml:space="preserve"> mission. </w:t>
            </w:r>
          </w:p>
          <w:p w:rsidRPr="00785268" w:rsidR="00771503" w:rsidP="00771503" w:rsidRDefault="00771503" w14:paraId="2F3F6637" w14:textId="411686B3">
            <w:pPr>
              <w:spacing w:line="276" w:lineRule="auto"/>
              <w:rPr>
                <w:rFonts w:cs="Arial"/>
              </w:rPr>
            </w:pPr>
            <w:r w:rsidRPr="000D482E">
              <w:t xml:space="preserve">The </w:t>
            </w:r>
            <w:r w:rsidR="00507108">
              <w:t>revalidation</w:t>
            </w:r>
            <w:r w:rsidRPr="000D482E">
              <w:t xml:space="preserve"> mission program with the itinerary and detailed agenda of a minimum of 4-day visit to the region and including meetings with all relevant stakeholders, must b</w:t>
            </w:r>
            <w:r w:rsidRPr="0097474F">
              <w:t>e shared</w:t>
            </w:r>
            <w:r w:rsidRPr="0097474F" w:rsidR="00B87D8E">
              <w:t>,</w:t>
            </w:r>
            <w:r w:rsidRPr="0097474F">
              <w:t xml:space="preserve"> and</w:t>
            </w:r>
            <w:r w:rsidRPr="000D482E">
              <w:t xml:space="preserve"> agreed on between the area to be evaluated and the evaluators and later sent to UNESCO Secretariat, </w:t>
            </w:r>
            <w:r w:rsidRPr="00F85DA5" w:rsidR="00F85DA5">
              <w:rPr>
                <w:b/>
                <w:bCs/>
              </w:rPr>
              <w:t>at least 4 weeks</w:t>
            </w:r>
            <w:r w:rsidRPr="000D482E">
              <w:t xml:space="preserve"> before the mission. The </w:t>
            </w:r>
            <w:r w:rsidR="00EE78C8">
              <w:t>revalidation</w:t>
            </w:r>
            <w:r w:rsidRPr="000D482E">
              <w:t xml:space="preserve"> mission takes place.</w:t>
            </w:r>
          </w:p>
        </w:tc>
        <w:tc>
          <w:tcPr>
            <w:tcW w:w="2340" w:type="dxa"/>
          </w:tcPr>
          <w:p w:rsidR="00771503" w:rsidP="00771503" w:rsidRDefault="00EE78C8" w14:paraId="2E410D18" w14:textId="5295E3D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April </w:t>
            </w:r>
            <w:r w:rsidR="002E32BE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August</w:t>
            </w:r>
          </w:p>
        </w:tc>
      </w:tr>
      <w:tr w:rsidRPr="007E1662" w:rsidR="00771503" w:rsidTr="006E1011" w14:paraId="3A61B109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</w:tcPr>
          <w:p w:rsidR="00771503" w:rsidP="00771503" w:rsidRDefault="00B460CB" w14:paraId="6AD0C8D6" w14:textId="665CFCA9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t>5</w:t>
            </w:r>
          </w:p>
        </w:tc>
        <w:tc>
          <w:tcPr>
            <w:tcW w:w="6390" w:type="dxa"/>
          </w:tcPr>
          <w:p w:rsidRPr="00A6037A" w:rsidR="00771503" w:rsidP="00771503" w:rsidRDefault="00771503" w14:paraId="66B5A5C9" w14:textId="0C1C22BF">
            <w:pPr>
              <w:spacing w:line="276" w:lineRule="auto"/>
              <w:rPr>
                <w:rFonts w:cs="Arial"/>
                <w:b/>
                <w:bCs/>
              </w:rPr>
            </w:pPr>
            <w:r w:rsidRPr="000D482E">
              <w:t xml:space="preserve">The UNESCO Global Geoparks Council discusses the </w:t>
            </w:r>
            <w:r w:rsidR="00EE78C8">
              <w:t>evaluators’ report</w:t>
            </w:r>
            <w:r w:rsidRPr="000D482E">
              <w:t xml:space="preserve"> and decides whether to </w:t>
            </w:r>
            <w:r w:rsidR="000D3F2A">
              <w:t>give a green, yellow, or red card to the UGGp</w:t>
            </w:r>
            <w:r w:rsidRPr="000D482E">
              <w:t xml:space="preserve">. </w:t>
            </w:r>
            <w:r w:rsidR="00156DEA">
              <w:t>Representatives of the UGGp may apply to be observers at the Council meeting through the CCUNESCO.</w:t>
            </w:r>
          </w:p>
        </w:tc>
        <w:tc>
          <w:tcPr>
            <w:tcW w:w="2340" w:type="dxa"/>
          </w:tcPr>
          <w:p w:rsidR="00282E5E" w:rsidP="00282E5E" w:rsidRDefault="00B460CB" w14:paraId="52BBA53D" w14:textId="27809DB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  <w:p w:rsidR="0029317B" w:rsidP="00771503" w:rsidRDefault="0029317B" w14:paraId="61A60D86" w14:textId="6E646C1E">
            <w:pPr>
              <w:spacing w:line="276" w:lineRule="auto"/>
              <w:rPr>
                <w:rFonts w:cs="Arial"/>
              </w:rPr>
            </w:pPr>
          </w:p>
        </w:tc>
      </w:tr>
      <w:tr w:rsidRPr="007E1662" w:rsidR="00CA7F1D" w:rsidTr="006E1011" w14:paraId="503C978C" w14:textId="77777777">
        <w:trPr>
          <w:trHeight w:val="301"/>
        </w:trPr>
        <w:tc>
          <w:tcPr>
            <w:tcW w:w="810" w:type="dxa"/>
            <w:shd w:val="clear" w:color="auto" w:fill="D5DCE4" w:themeFill="text2" w:themeFillTint="33"/>
          </w:tcPr>
          <w:p w:rsidR="00CA7F1D" w:rsidP="00771503" w:rsidRDefault="00CA7F1D" w14:paraId="18B82D17" w14:textId="3F8EB0A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390" w:type="dxa"/>
          </w:tcPr>
          <w:p w:rsidRPr="000D482E" w:rsidR="00CA7F1D" w:rsidP="00771503" w:rsidRDefault="00D939B9" w14:paraId="6CA67FF4" w14:textId="4EA796E6">
            <w:pPr>
              <w:spacing w:line="276" w:lineRule="auto"/>
            </w:pPr>
            <w:r>
              <w:t>Depending on the outcome, t</w:t>
            </w:r>
            <w:r w:rsidR="00CA7F1D">
              <w:t xml:space="preserve">he next revalidation will </w:t>
            </w:r>
            <w:r w:rsidR="0029317B">
              <w:t xml:space="preserve">occur in 2 </w:t>
            </w:r>
            <w:r>
              <w:t xml:space="preserve">years (yellow card) </w:t>
            </w:r>
            <w:r w:rsidR="0029317B">
              <w:t>or 4 years</w:t>
            </w:r>
            <w:r>
              <w:t xml:space="preserve"> (green card).</w:t>
            </w:r>
          </w:p>
        </w:tc>
        <w:tc>
          <w:tcPr>
            <w:tcW w:w="2340" w:type="dxa"/>
          </w:tcPr>
          <w:p w:rsidR="00CA7F1D" w:rsidP="00771503" w:rsidRDefault="00CA7F1D" w14:paraId="4A87A11C" w14:textId="77777777">
            <w:pPr>
              <w:spacing w:line="276" w:lineRule="auto"/>
              <w:rPr>
                <w:rFonts w:cs="Arial"/>
              </w:rPr>
            </w:pPr>
          </w:p>
        </w:tc>
      </w:tr>
    </w:tbl>
    <w:p w:rsidR="00FD67A6" w:rsidRDefault="00FD67A6" w14:paraId="19C2DB51" w14:textId="77777777">
      <w:pPr>
        <w:rPr>
          <w:b/>
          <w:bCs/>
        </w:rPr>
      </w:pPr>
    </w:p>
    <w:p w:rsidR="00CA7F1D" w:rsidP="00CA7F1D" w:rsidRDefault="00CA7F1D" w14:paraId="67092FA9" w14:textId="77777777">
      <w:pPr>
        <w:rPr>
          <w:b/>
          <w:bCs/>
        </w:rPr>
      </w:pPr>
    </w:p>
    <w:p w:rsidRPr="00FC56E2" w:rsidR="00CA7F1D" w:rsidP="00CA7F1D" w:rsidRDefault="00CA7F1D" w14:paraId="7D07FDF8" w14:textId="49D40D25">
      <w:pPr>
        <w:rPr>
          <w:b/>
          <w:bCs/>
        </w:rPr>
      </w:pPr>
      <w:r w:rsidRPr="00FC56E2">
        <w:rPr>
          <w:b/>
          <w:bCs/>
        </w:rPr>
        <w:t>Resources</w:t>
      </w:r>
    </w:p>
    <w:p w:rsidR="00CA7F1D" w:rsidP="00CA7F1D" w:rsidRDefault="0097474F" w14:paraId="36A71552" w14:textId="77777777">
      <w:hyperlink w:history="1" r:id="rId7">
        <w:r w:rsidRPr="00DB49B1" w:rsidR="00CA7F1D">
          <w:rPr>
            <w:rStyle w:val="Hyperlink"/>
          </w:rPr>
          <w:t>Statutes and Operational Guidelines for UNESCO Global Geoparks</w:t>
        </w:r>
      </w:hyperlink>
    </w:p>
    <w:p w:rsidR="00CA7F1D" w:rsidP="00CA7F1D" w:rsidRDefault="0097474F" w14:paraId="1B68BA56" w14:textId="2045FA92">
      <w:hyperlink w:history="1" r:id="rId8">
        <w:r w:rsidRPr="0070642F" w:rsidR="0070642F">
          <w:rPr>
            <w:rStyle w:val="Hyperlink"/>
          </w:rPr>
          <w:t>How to revalidate, extend and rename your Geopark</w:t>
        </w:r>
      </w:hyperlink>
    </w:p>
    <w:p w:rsidR="00CA7F1D" w:rsidP="00CA7F1D" w:rsidRDefault="0097474F" w14:paraId="608DFB1D" w14:textId="250A6551">
      <w:hyperlink w:history="1" r:id="rId9">
        <w:r w:rsidRPr="00B87D8E" w:rsidR="008C6FFD">
          <w:rPr>
            <w:rStyle w:val="Hyperlink"/>
            <w:lang w:val="en-CA"/>
          </w:rPr>
          <w:t>One-page summary template</w:t>
        </w:r>
      </w:hyperlink>
    </w:p>
    <w:p w:rsidR="00CA7F1D" w:rsidP="00CA7F1D" w:rsidRDefault="0097474F" w14:paraId="41E75F93" w14:textId="03C52BD1">
      <w:hyperlink w:history="1" r:id="rId10">
        <w:r w:rsidRPr="008C6FFD" w:rsidR="008C6FFD">
          <w:rPr>
            <w:rStyle w:val="Hyperlink"/>
          </w:rPr>
          <w:t>Progress report template</w:t>
        </w:r>
      </w:hyperlink>
    </w:p>
    <w:p w:rsidRPr="008C6FFD" w:rsidR="008C6FFD" w:rsidP="00CA7F1D" w:rsidRDefault="0097474F" w14:paraId="54CA841C" w14:textId="3819B888">
      <w:hyperlink w:history="1" r:id="rId11">
        <w:r w:rsidRPr="008C6FFD" w:rsidR="008C6FFD">
          <w:rPr>
            <w:rStyle w:val="Hyperlink"/>
          </w:rPr>
          <w:t>Forms for Revalidation (Form A and B)</w:t>
        </w:r>
      </w:hyperlink>
    </w:p>
    <w:p w:rsidR="00CA7F1D" w:rsidP="00CA7F1D" w:rsidRDefault="0097474F" w14:paraId="644A74A6" w14:textId="77777777">
      <w:hyperlink w:history="1" r:id="rId12">
        <w:r w:rsidRPr="00EC3140" w:rsidR="00CA7F1D">
          <w:rPr>
            <w:rStyle w:val="Hyperlink"/>
          </w:rPr>
          <w:t>Guidelines for UNESCO Global Geopark Field Inspection Missions</w:t>
        </w:r>
      </w:hyperlink>
    </w:p>
    <w:p w:rsidRPr="00B87BBE" w:rsidR="00CA7F1D" w:rsidRDefault="00CA7F1D" w14:paraId="5B1B0037" w14:textId="77777777">
      <w:pPr>
        <w:rPr>
          <w:b/>
          <w:bCs/>
        </w:rPr>
      </w:pPr>
    </w:p>
    <w:sectPr w:rsidRPr="00B87BBE" w:rsidR="00CA7F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95"/>
    <w:rsid w:val="000D3F2A"/>
    <w:rsid w:val="00156DEA"/>
    <w:rsid w:val="00195FBC"/>
    <w:rsid w:val="00240F9D"/>
    <w:rsid w:val="00282E5E"/>
    <w:rsid w:val="0029317B"/>
    <w:rsid w:val="002E32BE"/>
    <w:rsid w:val="00507108"/>
    <w:rsid w:val="005D338A"/>
    <w:rsid w:val="0060078F"/>
    <w:rsid w:val="006F095F"/>
    <w:rsid w:val="0070642F"/>
    <w:rsid w:val="00771503"/>
    <w:rsid w:val="00867ACD"/>
    <w:rsid w:val="008C6FFD"/>
    <w:rsid w:val="00905BD8"/>
    <w:rsid w:val="0097474F"/>
    <w:rsid w:val="00A31895"/>
    <w:rsid w:val="00A6037A"/>
    <w:rsid w:val="00B171E3"/>
    <w:rsid w:val="00B460CB"/>
    <w:rsid w:val="00B87BBE"/>
    <w:rsid w:val="00B87D8E"/>
    <w:rsid w:val="00BD5138"/>
    <w:rsid w:val="00CA7F1D"/>
    <w:rsid w:val="00CB7628"/>
    <w:rsid w:val="00D939B9"/>
    <w:rsid w:val="00E63C59"/>
    <w:rsid w:val="00EE78C8"/>
    <w:rsid w:val="00F41C05"/>
    <w:rsid w:val="00F85DA5"/>
    <w:rsid w:val="00FD67A6"/>
    <w:rsid w:val="04E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1AFA"/>
  <w15:chartTrackingRefBased/>
  <w15:docId w15:val="{EF67B1C5-75E2-4777-9A30-D74F47C522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89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A7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n.unesco.org/global-geoparks/revalidate-extend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hyperlink" Target="https://unesdoc.unesco.org/ark:/48223/pf0000234539" TargetMode="External" Id="rId7" /><Relationship Type="http://schemas.openxmlformats.org/officeDocument/2006/relationships/hyperlink" Target="https://en.unesco.org/sites/default/files/2020_guidelines_for_unesco_field_inspection_missions_new_logo_corr.pdf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en.unesco.org/sites/default/files/uggp_progress_report_template_2022-for_revalidations.docx_.zip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en.unesco.org/sites/default/files/uggp_progress_report_template_2022-for_revalidations.docx_.zip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en.unesco.org/sites/default/files/one_page_summary_template_for_revalidation_2022.doc_.zip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236c89-c677-4473-bb41-c5cd70d21d5a">
      <Value>103</Value>
      <Value>29</Value>
      <Value>1</Value>
    </TaxCatchAll>
    <g05d5457cf1f440cb448a55207450f44 xmlns="27236c89-c677-4473-bb41-c5cd70d21d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2022-2023</TermName>
          <TermId xmlns="http://schemas.microsoft.com/office/infopath/2007/PartnerControls">53caac20-a9a5-47b7-bbe9-ae2f1558cf56</TermId>
        </TermInfo>
      </Terms>
    </g05d5457cf1f440cb448a55207450f44>
    <c4f4de2185c94eea87f558d02a1bf1c8 xmlns="27236c89-c677-4473-bb41-c5cd70d21d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3134c075-5ff0-4724-8d28-d29c431f53dd</TermId>
        </TermInfo>
      </Terms>
    </c4f4de2185c94eea87f558d02a1bf1c8>
    <a59f859cc1234f61a5d63ee58ae7d773 xmlns="27236c89-c677-4473-bb41-c5cd70d21d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</TermName>
          <TermId xmlns="http://schemas.microsoft.com/office/infopath/2007/PartnerControls">3d5ac462-f491-48af-bdbe-4562a98b26b5</TermId>
        </TermInfo>
      </Terms>
    </a59f859cc1234f61a5d63ee58ae7d77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Policy, Standards and Guidelines Document" ma:contentTypeID="0x01010015B05D4CA28E4E6D8AE171E5617559701400AD1BA55B2539634EA4FA38B69BB803C2" ma:contentTypeVersion="7" ma:contentTypeDescription=" " ma:contentTypeScope="" ma:versionID="9ce758de66806f8d4b512cdc1af0c1cb">
  <xsd:schema xmlns:xsd="http://www.w3.org/2001/XMLSchema" xmlns:xs="http://www.w3.org/2001/XMLSchema" xmlns:p="http://schemas.microsoft.com/office/2006/metadata/properties" xmlns:ns2="27236c89-c677-4473-bb41-c5cd70d21d5a" xmlns:ns3="e8d119f9-f86f-48c6-9c6f-2392256b656c" targetNamespace="http://schemas.microsoft.com/office/2006/metadata/properties" ma:root="true" ma:fieldsID="f6a551f696f6c7abe4c74d63ae75fac2" ns2:_="" ns3:_="">
    <xsd:import namespace="27236c89-c677-4473-bb41-c5cd70d21d5a"/>
    <xsd:import namespace="e8d119f9-f86f-48c6-9c6f-2392256b656c"/>
    <xsd:element name="properties">
      <xsd:complexType>
        <xsd:sequence>
          <xsd:element name="documentManagement">
            <xsd:complexType>
              <xsd:all>
                <xsd:element ref="ns2:a59f859cc1234f61a5d63ee58ae7d773" minOccurs="0"/>
                <xsd:element ref="ns2:TaxCatchAll" minOccurs="0"/>
                <xsd:element ref="ns2:TaxCatchAllLabel" minOccurs="0"/>
                <xsd:element ref="ns2:g05d5457cf1f440cb448a55207450f44" minOccurs="0"/>
                <xsd:element ref="ns2:c4f4de2185c94eea87f558d02a1bf1c8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6c89-c677-4473-bb41-c5cd70d21d5a" elementFormDefault="qualified">
    <xsd:import namespace="http://schemas.microsoft.com/office/2006/documentManagement/types"/>
    <xsd:import namespace="http://schemas.microsoft.com/office/infopath/2007/PartnerControls"/>
    <xsd:element name="a59f859cc1234f61a5d63ee58ae7d773" ma:index="8" ma:taxonomy="true" ma:internalName="a59f859cc1234f61a5d63ee58ae7d773" ma:taxonomyFieldName="Document_x0020_Status" ma:displayName="Document Status" ma:readOnly="false" ma:default="1;#Work In Progress|3d5ac462-f491-48af-bdbe-4562a98b26b5" ma:fieldId="{a59f859c-c123-4f61-a5d6-3ee58ae7d773}" ma:sspId="541aa58e-fece-4210-aba4-4e1a3c46cbca" ma:termSetId="9686f07e-f161-4886-a726-6f728c0de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a66c45b-58c2-4606-b39c-2250fabebe9a}" ma:internalName="TaxCatchAll" ma:showField="CatchAllData" ma:web="27236c89-c677-4473-bb41-c5cd70d21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66c45b-58c2-4606-b39c-2250fabebe9a}" ma:internalName="TaxCatchAllLabel" ma:readOnly="true" ma:showField="CatchAllDataLabel" ma:web="27236c89-c677-4473-bb41-c5cd70d21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05d5457cf1f440cb448a55207450f44" ma:index="12" ma:taxonomy="true" ma:internalName="g05d5457cf1f440cb448a55207450f44" ma:taxonomyFieldName="Fiscal_x0020_Year" ma:displayName="Fiscal Year" ma:readOnly="false" ma:default="29;#2023-2024|0253a065-7f39-40f9-84de-65b951418117" ma:fieldId="{005d5457-cf1f-440c-b448-a55207450f44}" ma:sspId="541aa58e-fece-4210-aba4-4e1a3c46cbca" ma:termSetId="75960d9f-bd43-41f8-8a9f-5e07e1845a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f4de2185c94eea87f558d02a1bf1c8" ma:index="14" ma:taxonomy="true" ma:internalName="c4f4de2185c94eea87f558d02a1bf1c8" ma:taxonomyFieldName="Corporate_x0020_Policy_x002C__x0020_Standards_x0020_and_x0020_Guidelines_x0020_Document_x0020_Type" ma:displayName="Document Type" ma:readOnly="false" ma:default="" ma:fieldId="{c4f4de21-85c9-4eea-87f5-58d02a1bf1c8}" ma:sspId="541aa58e-fece-4210-aba4-4e1a3c46cbca" ma:termSetId="0486776b-c502-4687-9087-318f1ba9e9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119f9-f86f-48c6-9c6f-2392256b6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FF97A-5280-43DF-8918-57E2ED957C19}">
  <ds:schemaRefs>
    <ds:schemaRef ds:uri="http://schemas.microsoft.com/office/2006/metadata/properties"/>
    <ds:schemaRef ds:uri="http://schemas.microsoft.com/office/infopath/2007/PartnerControls"/>
    <ds:schemaRef ds:uri="27236c89-c677-4473-bb41-c5cd70d21d5a"/>
  </ds:schemaRefs>
</ds:datastoreItem>
</file>

<file path=customXml/itemProps2.xml><?xml version="1.0" encoding="utf-8"?>
<ds:datastoreItem xmlns:ds="http://schemas.openxmlformats.org/officeDocument/2006/customXml" ds:itemID="{7FB1BF7C-E252-4231-ADEC-AABE3E3E5291}"/>
</file>

<file path=customXml/itemProps3.xml><?xml version="1.0" encoding="utf-8"?>
<ds:datastoreItem xmlns:ds="http://schemas.openxmlformats.org/officeDocument/2006/customXml" ds:itemID="{A0661F08-30CA-49BF-83C6-862E299AC0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Haine, Eleanor</dc:creator>
  <cp:keywords/>
  <dc:description/>
  <cp:lastModifiedBy>Compton, Zoe</cp:lastModifiedBy>
  <cp:revision>4</cp:revision>
  <dcterms:created xsi:type="dcterms:W3CDTF">2023-01-24T00:19:00Z</dcterms:created>
  <dcterms:modified xsi:type="dcterms:W3CDTF">2023-08-17T17:36:16Z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0x01010015B05D4CA28E4E6D8AE171E5617559701400AD1BA55B2539634EA4FA38B69BB803C2</vt:lpwstr>
  </property>
  <property fmtid="{D5CDD505-2E9C-101B-9397-08002B2CF9AE}" pid="3" name="Fiscal Year">
    <vt:lpwstr>29;#2022-2023|53caac20-a9a5-47b7-bbe9-ae2f1558cf56</vt:lpwstr>
  </property>
  <property fmtid="{D5CDD505-2E9C-101B-9397-08002B2CF9AE}" pid="4" name="Corporate Policy, Standards and Guidelines Document Type">
    <vt:lpwstr>103;#Procedure|3134c075-5ff0-4724-8d28-d29c431f53dd</vt:lpwstr>
  </property>
  <property fmtid="{D5CDD505-2E9C-101B-9397-08002B2CF9AE}" pid="5" name="Document Status">
    <vt:lpwstr>1;#Work In Progress|3d5ac462-f491-48af-bdbe-4562a98b26b5</vt:lpwstr>
  </property>
</Properties>
</file>